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385" w:rsidRPr="006A0C3E" w:rsidRDefault="00F31385" w:rsidP="00F31385">
      <w:pPr>
        <w:pStyle w:val="western"/>
        <w:tabs>
          <w:tab w:val="left" w:pos="7155"/>
        </w:tabs>
        <w:rPr>
          <w:sz w:val="22"/>
          <w:szCs w:val="22"/>
        </w:rPr>
      </w:pPr>
    </w:p>
    <w:p w:rsidR="00F31385" w:rsidRPr="006A0C3E" w:rsidRDefault="00F31385" w:rsidP="00F31385">
      <w:pPr>
        <w:jc w:val="both"/>
        <w:rPr>
          <w:rFonts w:ascii="Times New Roman" w:hAnsi="Times New Roman" w:cs="Times New Roman"/>
        </w:rPr>
      </w:pPr>
    </w:p>
    <w:p w:rsidR="00F31385" w:rsidRPr="00D14C39" w:rsidRDefault="00F31385" w:rsidP="00F31385">
      <w:pPr>
        <w:spacing w:after="0" w:line="276" w:lineRule="auto"/>
        <w:ind w:left="2268"/>
        <w:jc w:val="both"/>
        <w:rPr>
          <w:rFonts w:ascii="Arial" w:hAnsi="Arial" w:cs="Arial"/>
          <w:b/>
          <w:sz w:val="24"/>
          <w:szCs w:val="24"/>
        </w:rPr>
      </w:pPr>
      <w:r w:rsidRPr="00D14C39">
        <w:rPr>
          <w:rFonts w:ascii="Arial" w:hAnsi="Arial" w:cs="Arial"/>
          <w:b/>
          <w:sz w:val="24"/>
          <w:szCs w:val="24"/>
        </w:rPr>
        <w:t>PORTARIA Nº</w:t>
      </w:r>
      <w:r>
        <w:rPr>
          <w:rFonts w:ascii="Arial" w:hAnsi="Arial" w:cs="Arial"/>
          <w:b/>
          <w:sz w:val="24"/>
          <w:szCs w:val="24"/>
        </w:rPr>
        <w:t>381</w:t>
      </w:r>
      <w:r w:rsidRPr="00D14C39">
        <w:rPr>
          <w:rFonts w:ascii="Arial" w:hAnsi="Arial" w:cs="Arial"/>
          <w:b/>
          <w:sz w:val="24"/>
          <w:szCs w:val="24"/>
        </w:rPr>
        <w:t>/2026.</w:t>
      </w:r>
    </w:p>
    <w:p w:rsidR="00F31385" w:rsidRDefault="00F31385" w:rsidP="00F31385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F31385" w:rsidRPr="00D14C39" w:rsidRDefault="00F31385" w:rsidP="00F31385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F31385" w:rsidRDefault="00F31385" w:rsidP="00F31385">
      <w:pPr>
        <w:spacing w:after="0" w:line="240" w:lineRule="auto"/>
        <w:ind w:left="2268"/>
        <w:jc w:val="both"/>
        <w:rPr>
          <w:rFonts w:ascii="Arial" w:eastAsia="Arial" w:hAnsi="Arial" w:cs="Arial"/>
          <w:b/>
          <w:bCs/>
          <w:sz w:val="24"/>
          <w:szCs w:val="24"/>
          <w:lang w:eastAsia="pt-BR"/>
        </w:rPr>
      </w:pPr>
      <w:r w:rsidRPr="00EB3B9F">
        <w:rPr>
          <w:rFonts w:ascii="Arial" w:eastAsia="Arial" w:hAnsi="Arial" w:cs="Arial"/>
          <w:b/>
          <w:bCs/>
          <w:sz w:val="24"/>
          <w:szCs w:val="24"/>
          <w:lang w:eastAsia="pt-BR"/>
        </w:rPr>
        <w:t xml:space="preserve">CONCEDE ADICIONAL POR TEMPO DE SERVIÇO (TRIÊNIO) A SERVIDOR, COM FUNDAMENTO NA LEI COMPLEMENTAR Nº 149/2026, </w:t>
      </w:r>
      <w:r>
        <w:rPr>
          <w:rFonts w:ascii="Arial" w:eastAsia="Arial" w:hAnsi="Arial" w:cs="Arial"/>
          <w:b/>
          <w:bCs/>
          <w:sz w:val="24"/>
          <w:szCs w:val="24"/>
          <w:lang w:eastAsia="pt-BR"/>
        </w:rPr>
        <w:t>E CONFERE OUTRAS PROVIDÊNCIAS.</w:t>
      </w:r>
    </w:p>
    <w:p w:rsidR="00F31385" w:rsidRPr="00EB3B9F" w:rsidRDefault="00F31385" w:rsidP="00F31385">
      <w:pPr>
        <w:spacing w:after="0" w:line="240" w:lineRule="auto"/>
        <w:ind w:left="2268"/>
        <w:jc w:val="both"/>
        <w:rPr>
          <w:rFonts w:ascii="Arial" w:hAnsi="Arial" w:cs="Arial"/>
          <w:b/>
          <w:sz w:val="24"/>
          <w:szCs w:val="24"/>
        </w:rPr>
      </w:pPr>
    </w:p>
    <w:p w:rsidR="00F31385" w:rsidRDefault="00F31385" w:rsidP="00F31385">
      <w:pPr>
        <w:spacing w:after="0" w:line="240" w:lineRule="auto"/>
        <w:ind w:left="2268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D14C39">
        <w:rPr>
          <w:rFonts w:ascii="Arial" w:eastAsia="Arial" w:hAnsi="Arial" w:cs="Arial"/>
          <w:sz w:val="24"/>
          <w:szCs w:val="24"/>
          <w:lang w:eastAsia="pt-BR"/>
        </w:rPr>
        <w:t>O Prefeito Municipal de Entre Rios, Estado de Santa Catarina, no uso de suas atribuições legais, em conformidade com a Lei Complementar Municipal nº 018/2007 (Estatuto dos Servidores Públicos Municipais) e com a Lei Complementar Municipal nº 149/2026; e,</w:t>
      </w:r>
    </w:p>
    <w:p w:rsidR="00F31385" w:rsidRPr="00D14C39" w:rsidRDefault="00F31385" w:rsidP="00F31385">
      <w:pPr>
        <w:spacing w:after="0" w:line="240" w:lineRule="auto"/>
        <w:ind w:left="2268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:rsidR="00F31385" w:rsidRPr="00D14C39" w:rsidRDefault="00F31385" w:rsidP="00F31385">
      <w:pPr>
        <w:spacing w:after="0" w:line="240" w:lineRule="auto"/>
        <w:ind w:left="2268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:rsidR="00F31385" w:rsidRPr="00D14C39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D14C39">
        <w:rPr>
          <w:rFonts w:ascii="Arial" w:eastAsia="Arial" w:hAnsi="Arial" w:cs="Arial"/>
          <w:b/>
          <w:bCs/>
          <w:sz w:val="24"/>
          <w:szCs w:val="24"/>
          <w:lang w:eastAsia="pt-BR"/>
        </w:rPr>
        <w:t>CONSIDERANDO</w:t>
      </w:r>
      <w:r w:rsidRPr="00D14C39">
        <w:rPr>
          <w:rFonts w:ascii="Arial" w:eastAsia="Arial" w:hAnsi="Arial" w:cs="Arial"/>
          <w:sz w:val="24"/>
          <w:szCs w:val="24"/>
          <w:lang w:eastAsia="pt-BR"/>
        </w:rPr>
        <w:t xml:space="preserve"> que o art. 75-A da Lei Complementar nº 018/2007 assegura ao servidor público efetivo e estável o direito à gratificação de adicional por tempo de serviço (triênio), no percentual de 3% (três por cento) sobre o salário base, não cumulativo, a cada 3 (três) anos de efetivo exercício;</w:t>
      </w:r>
    </w:p>
    <w:p w:rsidR="00F31385" w:rsidRPr="00D14C39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D14C39">
        <w:rPr>
          <w:rFonts w:ascii="Arial" w:eastAsia="Arial" w:hAnsi="Arial" w:cs="Arial"/>
          <w:b/>
          <w:bCs/>
          <w:sz w:val="24"/>
          <w:szCs w:val="24"/>
          <w:lang w:eastAsia="pt-BR"/>
        </w:rPr>
        <w:t>CONSIDERANDO</w:t>
      </w:r>
      <w:r w:rsidRPr="00D14C39">
        <w:rPr>
          <w:rFonts w:ascii="Arial" w:eastAsia="Arial" w:hAnsi="Arial" w:cs="Arial"/>
          <w:sz w:val="24"/>
          <w:szCs w:val="24"/>
          <w:lang w:eastAsia="pt-BR"/>
        </w:rPr>
        <w:t xml:space="preserve"> que, durante o período compreendido entre 28 de maio de 2020 e 31 de dezembro de 2021, a contagem do tempo de serviço para fins de triênio foi legalmente suspensa em virtude do art. 8º da Lei Complementar Federal nº 173/2020, que vedou a concessão de aumentos, vantagens e progressões a servidores públicos durante a pandemia da COVID-19;</w:t>
      </w:r>
    </w:p>
    <w:p w:rsidR="00F31385" w:rsidRPr="00D14C39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D14C39">
        <w:rPr>
          <w:rFonts w:ascii="Arial" w:eastAsia="Arial" w:hAnsi="Arial" w:cs="Arial"/>
          <w:b/>
          <w:bCs/>
          <w:sz w:val="24"/>
          <w:szCs w:val="24"/>
          <w:lang w:eastAsia="pt-BR"/>
        </w:rPr>
        <w:t>CONSIDERANDO</w:t>
      </w:r>
      <w:r w:rsidRPr="00D14C39">
        <w:rPr>
          <w:rFonts w:ascii="Arial" w:eastAsia="Arial" w:hAnsi="Arial" w:cs="Arial"/>
          <w:sz w:val="24"/>
          <w:szCs w:val="24"/>
          <w:lang w:eastAsia="pt-BR"/>
        </w:rPr>
        <w:t xml:space="preserve"> que a Lei Complementar Municipal nº 149/2026, reconheceu expressamente o referido período como computável para fins de aquisição do triênio, determinando a implantação dos efeitos financeiros a partir da competência de março de 2026, sendo vedado o pagamento de valores retroativos;</w:t>
      </w:r>
    </w:p>
    <w:p w:rsidR="00F31385" w:rsidRPr="00D14C39" w:rsidRDefault="00F31385" w:rsidP="00F31385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:rsidR="00F31385" w:rsidRDefault="00F31385" w:rsidP="00F31385">
      <w:pPr>
        <w:spacing w:after="0" w:line="240" w:lineRule="auto"/>
        <w:ind w:firstLine="1134"/>
        <w:rPr>
          <w:rFonts w:ascii="Arial" w:eastAsia="Arial" w:hAnsi="Arial" w:cs="Arial"/>
          <w:b/>
          <w:bCs/>
          <w:sz w:val="24"/>
          <w:szCs w:val="24"/>
          <w:lang w:eastAsia="pt-BR"/>
        </w:rPr>
      </w:pPr>
      <w:r w:rsidRPr="00D14C39">
        <w:rPr>
          <w:rFonts w:ascii="Arial" w:eastAsia="Arial" w:hAnsi="Arial" w:cs="Arial"/>
          <w:b/>
          <w:bCs/>
          <w:sz w:val="24"/>
          <w:szCs w:val="24"/>
          <w:lang w:eastAsia="pt-BR"/>
        </w:rPr>
        <w:t>RESOLVE:</w:t>
      </w:r>
    </w:p>
    <w:p w:rsidR="00F31385" w:rsidRPr="00D14C39" w:rsidRDefault="00F31385" w:rsidP="00F31385">
      <w:pPr>
        <w:spacing w:after="0" w:line="240" w:lineRule="auto"/>
        <w:ind w:firstLine="1134"/>
        <w:rPr>
          <w:rFonts w:ascii="Arial" w:eastAsia="Arial" w:hAnsi="Arial" w:cs="Arial"/>
          <w:lang w:eastAsia="pt-BR"/>
        </w:rPr>
      </w:pPr>
    </w:p>
    <w:p w:rsidR="00F31385" w:rsidRPr="00D14C39" w:rsidRDefault="00F31385" w:rsidP="00F31385">
      <w:pPr>
        <w:spacing w:after="0" w:line="240" w:lineRule="auto"/>
        <w:rPr>
          <w:rFonts w:ascii="Arial" w:eastAsia="Arial" w:hAnsi="Arial" w:cs="Arial"/>
          <w:lang w:eastAsia="pt-BR"/>
        </w:rPr>
      </w:pPr>
    </w:p>
    <w:p w:rsidR="00F31385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D14C39">
        <w:rPr>
          <w:rFonts w:ascii="Arial" w:eastAsia="Arial" w:hAnsi="Arial" w:cs="Arial"/>
          <w:b/>
          <w:bCs/>
          <w:sz w:val="24"/>
          <w:szCs w:val="24"/>
          <w:lang w:eastAsia="pt-BR"/>
        </w:rPr>
        <w:t xml:space="preserve">Art. 1º </w:t>
      </w:r>
      <w:r w:rsidRPr="00D14C39">
        <w:rPr>
          <w:rFonts w:ascii="Arial" w:eastAsia="Arial" w:hAnsi="Arial" w:cs="Arial"/>
          <w:sz w:val="24"/>
          <w:szCs w:val="24"/>
          <w:lang w:eastAsia="pt-BR"/>
        </w:rPr>
        <w:t>Fica concedido o adicional por tempo de serviço (triênio), à razão de 3% (três por cento) sobre o valor do salário base, ao seguinte servidor público municipal:</w:t>
      </w:r>
    </w:p>
    <w:p w:rsidR="00F31385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F31385" w:rsidTr="00EB4921">
        <w:tc>
          <w:tcPr>
            <w:tcW w:w="2831" w:type="dxa"/>
          </w:tcPr>
          <w:p w:rsidR="00F31385" w:rsidRPr="00D14C39" w:rsidRDefault="00F31385" w:rsidP="00EB4921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D14C3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SERVIDOR</w:t>
            </w:r>
          </w:p>
        </w:tc>
        <w:tc>
          <w:tcPr>
            <w:tcW w:w="2831" w:type="dxa"/>
          </w:tcPr>
          <w:p w:rsidR="00F31385" w:rsidRPr="00D14C39" w:rsidRDefault="00F31385" w:rsidP="00EB4921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D14C3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CARGO/FUNÇÃO</w:t>
            </w:r>
          </w:p>
        </w:tc>
        <w:tc>
          <w:tcPr>
            <w:tcW w:w="2832" w:type="dxa"/>
          </w:tcPr>
          <w:p w:rsidR="00F31385" w:rsidRPr="00D14C39" w:rsidRDefault="00F31385" w:rsidP="00EB4921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D14C39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PERCENTUAL</w:t>
            </w:r>
          </w:p>
        </w:tc>
      </w:tr>
      <w:tr w:rsidR="00F31385" w:rsidTr="00EB4921">
        <w:tc>
          <w:tcPr>
            <w:tcW w:w="2831" w:type="dxa"/>
          </w:tcPr>
          <w:p w:rsidR="00F31385" w:rsidRPr="006B5ACE" w:rsidRDefault="00F31385" w:rsidP="00EB4921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Jakson</w:t>
            </w:r>
            <w:proofErr w:type="spellEnd"/>
            <w:r>
              <w:rPr>
                <w:rFonts w:ascii="Arial" w:eastAsia="Arial" w:hAnsi="Arial" w:cs="Arial"/>
              </w:rPr>
              <w:t xml:space="preserve"> Bernardo Lemes </w:t>
            </w:r>
            <w:proofErr w:type="spellStart"/>
            <w:r>
              <w:rPr>
                <w:rFonts w:ascii="Arial" w:eastAsia="Arial" w:hAnsi="Arial" w:cs="Arial"/>
              </w:rPr>
              <w:t>Emmerich</w:t>
            </w:r>
            <w:proofErr w:type="spellEnd"/>
          </w:p>
        </w:tc>
        <w:tc>
          <w:tcPr>
            <w:tcW w:w="2831" w:type="dxa"/>
          </w:tcPr>
          <w:p w:rsidR="00F31385" w:rsidRPr="006B5ACE" w:rsidRDefault="00F31385" w:rsidP="00EB492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Motorista de Caminhão</w:t>
            </w:r>
          </w:p>
        </w:tc>
        <w:tc>
          <w:tcPr>
            <w:tcW w:w="2832" w:type="dxa"/>
          </w:tcPr>
          <w:p w:rsidR="00F31385" w:rsidRPr="006B5ACE" w:rsidRDefault="00F31385" w:rsidP="00EB4921">
            <w:pPr>
              <w:jc w:val="center"/>
              <w:rPr>
                <w:rFonts w:ascii="Arial" w:eastAsia="Arial" w:hAnsi="Arial" w:cs="Arial"/>
              </w:rPr>
            </w:pPr>
            <w:r w:rsidRPr="006B5ACE">
              <w:rPr>
                <w:rFonts w:ascii="Arial" w:eastAsia="Arial" w:hAnsi="Arial" w:cs="Arial"/>
              </w:rPr>
              <w:t>3% sobre o salário base</w:t>
            </w:r>
          </w:p>
        </w:tc>
      </w:tr>
    </w:tbl>
    <w:p w:rsidR="00F31385" w:rsidRDefault="00F31385" w:rsidP="00F31385">
      <w:pPr>
        <w:spacing w:line="240" w:lineRule="auto"/>
        <w:ind w:firstLine="1134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:rsidR="00F31385" w:rsidRPr="00D14C39" w:rsidRDefault="00F31385" w:rsidP="00F31385">
      <w:pPr>
        <w:spacing w:after="0" w:line="240" w:lineRule="auto"/>
        <w:rPr>
          <w:rFonts w:ascii="Arial" w:eastAsia="Arial" w:hAnsi="Arial" w:cs="Arial"/>
          <w:lang w:eastAsia="pt-BR"/>
        </w:rPr>
      </w:pPr>
    </w:p>
    <w:p w:rsidR="00F31385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b/>
          <w:bCs/>
          <w:sz w:val="24"/>
          <w:szCs w:val="24"/>
          <w:lang w:eastAsia="pt-BR"/>
        </w:rPr>
      </w:pPr>
    </w:p>
    <w:p w:rsidR="00F31385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b/>
          <w:bCs/>
          <w:sz w:val="24"/>
          <w:szCs w:val="24"/>
          <w:lang w:eastAsia="pt-BR"/>
        </w:rPr>
      </w:pPr>
    </w:p>
    <w:p w:rsidR="00F31385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b/>
          <w:bCs/>
          <w:sz w:val="24"/>
          <w:szCs w:val="24"/>
          <w:lang w:eastAsia="pt-BR"/>
        </w:rPr>
      </w:pPr>
    </w:p>
    <w:p w:rsidR="00F31385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b/>
          <w:bCs/>
          <w:sz w:val="24"/>
          <w:szCs w:val="24"/>
          <w:lang w:eastAsia="pt-BR"/>
        </w:rPr>
      </w:pPr>
    </w:p>
    <w:p w:rsidR="00F31385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b/>
          <w:bCs/>
          <w:sz w:val="24"/>
          <w:szCs w:val="24"/>
          <w:lang w:eastAsia="pt-BR"/>
        </w:rPr>
      </w:pPr>
    </w:p>
    <w:p w:rsidR="00F31385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b/>
          <w:bCs/>
          <w:sz w:val="24"/>
          <w:szCs w:val="24"/>
          <w:lang w:eastAsia="pt-BR"/>
        </w:rPr>
      </w:pPr>
    </w:p>
    <w:p w:rsidR="00F31385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b/>
          <w:bCs/>
          <w:sz w:val="24"/>
          <w:szCs w:val="24"/>
          <w:lang w:eastAsia="pt-BR"/>
        </w:rPr>
      </w:pPr>
    </w:p>
    <w:p w:rsidR="00F31385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D14C39">
        <w:rPr>
          <w:rFonts w:ascii="Arial" w:eastAsia="Arial" w:hAnsi="Arial" w:cs="Arial"/>
          <w:b/>
          <w:bCs/>
          <w:sz w:val="24"/>
          <w:szCs w:val="24"/>
          <w:lang w:eastAsia="pt-BR"/>
        </w:rPr>
        <w:t xml:space="preserve">Art. 2º </w:t>
      </w:r>
      <w:r w:rsidRPr="00D14C39">
        <w:rPr>
          <w:rFonts w:ascii="Arial" w:eastAsia="Arial" w:hAnsi="Arial" w:cs="Arial"/>
          <w:sz w:val="24"/>
          <w:szCs w:val="24"/>
          <w:lang w:eastAsia="pt-BR"/>
        </w:rPr>
        <w:t xml:space="preserve">Fica reconhecido, para fins de aquisição do adicional por tempo de serviço, o período compreendido entre 28 de maio de 2020 e 31 de dezembro de 2021, cuja contagem havia sido suspensa em razão das </w:t>
      </w:r>
      <w:r>
        <w:rPr>
          <w:rFonts w:ascii="Arial" w:eastAsia="Arial" w:hAnsi="Arial" w:cs="Arial"/>
          <w:sz w:val="24"/>
          <w:szCs w:val="24"/>
          <w:lang w:eastAsia="pt-BR"/>
        </w:rPr>
        <w:t>disposições</w:t>
      </w:r>
      <w:r w:rsidRPr="00D14C39">
        <w:rPr>
          <w:rFonts w:ascii="Arial" w:eastAsia="Arial" w:hAnsi="Arial" w:cs="Arial"/>
          <w:sz w:val="24"/>
          <w:szCs w:val="24"/>
          <w:lang w:eastAsia="pt-BR"/>
        </w:rPr>
        <w:t xml:space="preserve"> da Lei Complementar Federal nº 173/2020, conforme determinado pelo art. 1º da Lei Complementar Municipal nº 149/2026.</w:t>
      </w:r>
    </w:p>
    <w:p w:rsidR="00F31385" w:rsidRDefault="00F31385" w:rsidP="00F31385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:rsidR="00F31385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F31385" w:rsidTr="00EB4921">
        <w:tc>
          <w:tcPr>
            <w:tcW w:w="2831" w:type="dxa"/>
          </w:tcPr>
          <w:p w:rsidR="00F31385" w:rsidRPr="00EB3B9F" w:rsidRDefault="00F31385" w:rsidP="00EB4921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EB3B9F">
              <w:rPr>
                <w:rFonts w:ascii="Arial" w:eastAsia="Arial" w:hAnsi="Arial" w:cs="Arial"/>
                <w:b/>
                <w:bCs/>
              </w:rPr>
              <w:t>DATA DE RECONHECIMENTO DO DIREITO</w:t>
            </w:r>
          </w:p>
        </w:tc>
        <w:tc>
          <w:tcPr>
            <w:tcW w:w="2831" w:type="dxa"/>
          </w:tcPr>
          <w:p w:rsidR="00F31385" w:rsidRPr="00EB3B9F" w:rsidRDefault="00F31385" w:rsidP="00EB4921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EB3B9F">
              <w:rPr>
                <w:rFonts w:ascii="Arial" w:eastAsia="Arial" w:hAnsi="Arial" w:cs="Arial"/>
                <w:b/>
                <w:bCs/>
              </w:rPr>
              <w:t>ANO TRO TRIÊNIO ADQUIRIDO</w:t>
            </w:r>
          </w:p>
        </w:tc>
        <w:tc>
          <w:tcPr>
            <w:tcW w:w="2832" w:type="dxa"/>
          </w:tcPr>
          <w:p w:rsidR="00F31385" w:rsidRPr="00EB3B9F" w:rsidRDefault="00F31385" w:rsidP="00EB4921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EB3B9F">
              <w:rPr>
                <w:rFonts w:ascii="Arial" w:eastAsia="Arial" w:hAnsi="Arial" w:cs="Arial"/>
                <w:b/>
                <w:bCs/>
              </w:rPr>
              <w:t>INÍCIO DOS EFEITOS FINANCEIROS</w:t>
            </w:r>
          </w:p>
        </w:tc>
      </w:tr>
      <w:tr w:rsidR="00F31385" w:rsidTr="00EB4921">
        <w:tc>
          <w:tcPr>
            <w:tcW w:w="2831" w:type="dxa"/>
          </w:tcPr>
          <w:p w:rsidR="00F31385" w:rsidRPr="00EB3B9F" w:rsidRDefault="00F31385" w:rsidP="00EB4921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 w:rsidRPr="00D14C39">
              <w:rPr>
                <w:rFonts w:ascii="Arial" w:eastAsia="Arial" w:hAnsi="Arial" w:cs="Arial"/>
              </w:rPr>
              <w:t>20 de maio de 2020</w:t>
            </w:r>
          </w:p>
        </w:tc>
        <w:tc>
          <w:tcPr>
            <w:tcW w:w="2831" w:type="dxa"/>
          </w:tcPr>
          <w:p w:rsidR="00F31385" w:rsidRPr="00EB3B9F" w:rsidRDefault="00F31385" w:rsidP="00F3138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Junho</w:t>
            </w:r>
            <w:r>
              <w:rPr>
                <w:rFonts w:ascii="Arial" w:eastAsia="Arial" w:hAnsi="Arial" w:cs="Arial"/>
              </w:rPr>
              <w:t>/202</w:t>
            </w:r>
            <w:r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</w:rPr>
              <w:t xml:space="preserve"> a </w:t>
            </w:r>
            <w:r>
              <w:rPr>
                <w:rFonts w:ascii="Arial" w:eastAsia="Arial" w:hAnsi="Arial" w:cs="Arial"/>
              </w:rPr>
              <w:t>Junho</w:t>
            </w:r>
            <w:r w:rsidRPr="00D14C39">
              <w:rPr>
                <w:rFonts w:ascii="Arial" w:eastAsia="Arial" w:hAnsi="Arial" w:cs="Arial"/>
              </w:rPr>
              <w:t>/202</w:t>
            </w: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2832" w:type="dxa"/>
          </w:tcPr>
          <w:p w:rsidR="00F31385" w:rsidRPr="00EB3B9F" w:rsidRDefault="00F31385" w:rsidP="00EB4921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Julho </w:t>
            </w:r>
            <w:r w:rsidRPr="00D14C39">
              <w:rPr>
                <w:rFonts w:ascii="Arial" w:eastAsia="Arial" w:hAnsi="Arial" w:cs="Arial"/>
              </w:rPr>
              <w:t>de 2026</w:t>
            </w:r>
          </w:p>
        </w:tc>
      </w:tr>
    </w:tbl>
    <w:p w:rsidR="00F31385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:rsidR="00F31385" w:rsidRPr="00D14C39" w:rsidRDefault="00F31385" w:rsidP="00F31385">
      <w:pPr>
        <w:spacing w:after="0" w:line="240" w:lineRule="auto"/>
        <w:rPr>
          <w:rFonts w:ascii="Arial" w:eastAsia="Arial" w:hAnsi="Arial" w:cs="Arial"/>
          <w:lang w:eastAsia="pt-BR"/>
        </w:rPr>
      </w:pPr>
    </w:p>
    <w:p w:rsidR="00F31385" w:rsidRPr="00D14C39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D14C39">
        <w:rPr>
          <w:rFonts w:ascii="Arial" w:eastAsia="Arial" w:hAnsi="Arial" w:cs="Arial"/>
          <w:b/>
          <w:bCs/>
          <w:sz w:val="24"/>
          <w:szCs w:val="24"/>
          <w:lang w:eastAsia="pt-BR"/>
        </w:rPr>
        <w:t xml:space="preserve">Art. 3º </w:t>
      </w:r>
      <w:r w:rsidRPr="00D14C39">
        <w:rPr>
          <w:rFonts w:ascii="Arial" w:eastAsia="Arial" w:hAnsi="Arial" w:cs="Arial"/>
          <w:sz w:val="24"/>
          <w:szCs w:val="24"/>
          <w:lang w:eastAsia="pt-BR"/>
        </w:rPr>
        <w:t xml:space="preserve">Fica determinado ao Departamento de Recursos Humanos que inclua o adicional de tempo de serviço na folha de pagamento do servidor mencionado no art. 1º a partir da competência de </w:t>
      </w:r>
      <w:r>
        <w:rPr>
          <w:rFonts w:ascii="Arial" w:eastAsia="Arial" w:hAnsi="Arial" w:cs="Arial"/>
          <w:sz w:val="24"/>
          <w:szCs w:val="24"/>
          <w:lang w:eastAsia="pt-BR"/>
        </w:rPr>
        <w:t xml:space="preserve">julho </w:t>
      </w:r>
      <w:r w:rsidRPr="00D14C39">
        <w:rPr>
          <w:rFonts w:ascii="Arial" w:eastAsia="Arial" w:hAnsi="Arial" w:cs="Arial"/>
          <w:sz w:val="24"/>
          <w:szCs w:val="24"/>
          <w:lang w:eastAsia="pt-BR"/>
        </w:rPr>
        <w:t>de 2026, vedado o pagamento de quaisquer valores retroativos, nos termos do art. 3º da Lei Complementar nº 149/2026.</w:t>
      </w:r>
    </w:p>
    <w:p w:rsidR="00F31385" w:rsidRPr="00D14C39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D14C39">
        <w:rPr>
          <w:rFonts w:ascii="Arial" w:eastAsia="Arial" w:hAnsi="Arial" w:cs="Arial"/>
          <w:b/>
          <w:bCs/>
          <w:sz w:val="24"/>
          <w:szCs w:val="24"/>
          <w:lang w:eastAsia="pt-BR"/>
        </w:rPr>
        <w:t xml:space="preserve">Art. 4º </w:t>
      </w:r>
      <w:r w:rsidRPr="00D14C39">
        <w:rPr>
          <w:rFonts w:ascii="Arial" w:eastAsia="Arial" w:hAnsi="Arial" w:cs="Arial"/>
          <w:sz w:val="24"/>
          <w:szCs w:val="24"/>
          <w:lang w:eastAsia="pt-BR"/>
        </w:rPr>
        <w:t xml:space="preserve">Conforme disposto nos </w:t>
      </w:r>
      <w:proofErr w:type="spellStart"/>
      <w:r w:rsidRPr="00D14C39">
        <w:rPr>
          <w:rFonts w:ascii="Arial" w:eastAsia="Arial" w:hAnsi="Arial" w:cs="Arial"/>
          <w:sz w:val="24"/>
          <w:szCs w:val="24"/>
          <w:lang w:eastAsia="pt-BR"/>
        </w:rPr>
        <w:t>arts</w:t>
      </w:r>
      <w:proofErr w:type="spellEnd"/>
      <w:r w:rsidRPr="00D14C39">
        <w:rPr>
          <w:rFonts w:ascii="Arial" w:eastAsia="Arial" w:hAnsi="Arial" w:cs="Arial"/>
          <w:sz w:val="24"/>
          <w:szCs w:val="24"/>
          <w:lang w:eastAsia="pt-BR"/>
        </w:rPr>
        <w:t>. 4º e 5º da Lei Complementar Municipal nº 149/2026, a suspensão da contagem do tempo de serviço durante a pandemia decorreu de determinação legal, não caracterizando mora administrativa do Município, razão pela qual não incidirão juros, correção monetária ou encargos moratórios sobre os valores decorrentes da implantação do triênio.</w:t>
      </w:r>
    </w:p>
    <w:p w:rsidR="00F31385" w:rsidRPr="00D14C39" w:rsidRDefault="00F31385" w:rsidP="00F31385">
      <w:pPr>
        <w:spacing w:after="0" w:line="276" w:lineRule="auto"/>
        <w:ind w:firstLine="1134"/>
        <w:jc w:val="both"/>
        <w:rPr>
          <w:rFonts w:ascii="Arial" w:eastAsia="Arial" w:hAnsi="Arial" w:cs="Arial"/>
          <w:sz w:val="24"/>
          <w:szCs w:val="24"/>
          <w:lang w:eastAsia="pt-BR"/>
        </w:rPr>
      </w:pPr>
      <w:r w:rsidRPr="00D14C39">
        <w:rPr>
          <w:rFonts w:ascii="Arial" w:eastAsia="Arial" w:hAnsi="Arial" w:cs="Arial"/>
          <w:b/>
          <w:bCs/>
          <w:sz w:val="24"/>
          <w:szCs w:val="24"/>
          <w:lang w:eastAsia="pt-BR"/>
        </w:rPr>
        <w:t xml:space="preserve">Art. 5º </w:t>
      </w:r>
      <w:r w:rsidRPr="00D14C39">
        <w:rPr>
          <w:rFonts w:ascii="Arial" w:eastAsia="Arial" w:hAnsi="Arial" w:cs="Arial"/>
          <w:sz w:val="24"/>
          <w:szCs w:val="24"/>
          <w:lang w:eastAsia="pt-BR"/>
        </w:rPr>
        <w:t>Esta Portaria entra em vigor na data de sua publicação, produzindo efeitos financeiros a partir da competência de março de 2026, ficando revogadas as disposições em contrário.</w:t>
      </w:r>
    </w:p>
    <w:p w:rsidR="00F31385" w:rsidRDefault="00F31385" w:rsidP="00F31385">
      <w:pPr>
        <w:spacing w:after="480" w:line="240" w:lineRule="auto"/>
        <w:jc w:val="center"/>
        <w:rPr>
          <w:rFonts w:ascii="Arial" w:eastAsia="Arial" w:hAnsi="Arial" w:cs="Arial"/>
          <w:lang w:eastAsia="pt-BR"/>
        </w:rPr>
      </w:pPr>
    </w:p>
    <w:p w:rsidR="00F31385" w:rsidRDefault="00F31385" w:rsidP="00F31385">
      <w:pPr>
        <w:spacing w:after="480" w:line="240" w:lineRule="auto"/>
        <w:jc w:val="center"/>
        <w:rPr>
          <w:rFonts w:ascii="Arial" w:eastAsia="Arial" w:hAnsi="Arial" w:cs="Arial"/>
          <w:lang w:eastAsia="pt-BR"/>
        </w:rPr>
      </w:pPr>
      <w:r w:rsidRPr="00D14C39">
        <w:rPr>
          <w:rFonts w:ascii="Arial" w:eastAsia="Arial" w:hAnsi="Arial" w:cs="Arial"/>
          <w:lang w:eastAsia="pt-BR"/>
        </w:rPr>
        <w:t>Gabin</w:t>
      </w:r>
      <w:r>
        <w:rPr>
          <w:rFonts w:ascii="Arial" w:eastAsia="Arial" w:hAnsi="Arial" w:cs="Arial"/>
          <w:lang w:eastAsia="pt-BR"/>
        </w:rPr>
        <w:t>ete do Prefeito de Entre Rios, 08</w:t>
      </w:r>
      <w:r w:rsidRPr="00D14C39">
        <w:rPr>
          <w:rFonts w:ascii="Arial" w:eastAsia="Arial" w:hAnsi="Arial" w:cs="Arial"/>
          <w:lang w:eastAsia="pt-BR"/>
        </w:rPr>
        <w:t xml:space="preserve"> de </w:t>
      </w:r>
      <w:r>
        <w:rPr>
          <w:rFonts w:ascii="Arial" w:eastAsia="Arial" w:hAnsi="Arial" w:cs="Arial"/>
          <w:lang w:eastAsia="pt-BR"/>
        </w:rPr>
        <w:t>julho d</w:t>
      </w:r>
      <w:r w:rsidRPr="00D14C39">
        <w:rPr>
          <w:rFonts w:ascii="Arial" w:eastAsia="Arial" w:hAnsi="Arial" w:cs="Arial"/>
          <w:lang w:eastAsia="pt-BR"/>
        </w:rPr>
        <w:t>e 2026.</w:t>
      </w:r>
    </w:p>
    <w:p w:rsidR="00F31385" w:rsidRPr="00EB3B9F" w:rsidRDefault="00F31385" w:rsidP="00F31385">
      <w:pPr>
        <w:spacing w:after="480" w:line="240" w:lineRule="auto"/>
        <w:jc w:val="center"/>
        <w:rPr>
          <w:rFonts w:ascii="Arial" w:eastAsia="Arial" w:hAnsi="Arial" w:cs="Arial"/>
          <w:lang w:eastAsia="pt-BR"/>
        </w:rPr>
      </w:pPr>
    </w:p>
    <w:p w:rsidR="00F31385" w:rsidRPr="00EB3B9F" w:rsidRDefault="00430647" w:rsidP="00F3138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Evandro </w:t>
      </w:r>
      <w:proofErr w:type="spellStart"/>
      <w:r>
        <w:rPr>
          <w:rFonts w:ascii="Arial" w:hAnsi="Arial" w:cs="Arial"/>
          <w:b/>
          <w:sz w:val="24"/>
          <w:szCs w:val="24"/>
        </w:rPr>
        <w:t>Antonio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dos Passos</w:t>
      </w:r>
      <w:bookmarkStart w:id="0" w:name="_GoBack"/>
      <w:bookmarkEnd w:id="0"/>
    </w:p>
    <w:p w:rsidR="00F31385" w:rsidRDefault="00F31385" w:rsidP="00F31385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EB3B9F">
        <w:rPr>
          <w:rFonts w:ascii="Arial" w:hAnsi="Arial" w:cs="Arial"/>
          <w:bCs/>
          <w:sz w:val="24"/>
          <w:szCs w:val="24"/>
        </w:rPr>
        <w:t>Prefeito Municipal</w:t>
      </w:r>
    </w:p>
    <w:p w:rsidR="00F31385" w:rsidRPr="00EB3B9F" w:rsidRDefault="00F31385" w:rsidP="00F31385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:rsidR="00F31385" w:rsidRPr="00EB3B9F" w:rsidRDefault="00F31385" w:rsidP="00F31385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EB3B9F">
        <w:rPr>
          <w:rFonts w:ascii="Arial" w:hAnsi="Arial" w:cs="Arial"/>
          <w:b/>
          <w:bCs/>
          <w:sz w:val="24"/>
          <w:szCs w:val="24"/>
        </w:rPr>
        <w:t>Taline</w:t>
      </w:r>
      <w:proofErr w:type="spellEnd"/>
      <w:r w:rsidRPr="00EB3B9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B3B9F">
        <w:rPr>
          <w:rFonts w:ascii="Arial" w:hAnsi="Arial" w:cs="Arial"/>
          <w:b/>
          <w:bCs/>
          <w:sz w:val="24"/>
          <w:szCs w:val="24"/>
        </w:rPr>
        <w:t>Maiara</w:t>
      </w:r>
      <w:proofErr w:type="spellEnd"/>
      <w:r w:rsidRPr="00EB3B9F">
        <w:rPr>
          <w:rFonts w:ascii="Arial" w:hAnsi="Arial" w:cs="Arial"/>
          <w:b/>
          <w:bCs/>
          <w:sz w:val="24"/>
          <w:szCs w:val="24"/>
        </w:rPr>
        <w:t xml:space="preserve"> Taquara</w:t>
      </w:r>
    </w:p>
    <w:p w:rsidR="00F31385" w:rsidRPr="00EB3B9F" w:rsidRDefault="00F31385" w:rsidP="00F31385">
      <w:pPr>
        <w:spacing w:after="0"/>
        <w:jc w:val="both"/>
        <w:rPr>
          <w:rFonts w:ascii="Arial" w:hAnsi="Arial" w:cs="Arial"/>
          <w:sz w:val="24"/>
          <w:szCs w:val="24"/>
        </w:rPr>
      </w:pPr>
      <w:r w:rsidRPr="00EB3B9F">
        <w:rPr>
          <w:rFonts w:ascii="Arial" w:hAnsi="Arial" w:cs="Arial"/>
          <w:sz w:val="24"/>
          <w:szCs w:val="24"/>
        </w:rPr>
        <w:t xml:space="preserve">OAB/SC 66.438/Assessora Jurídica  </w:t>
      </w:r>
    </w:p>
    <w:p w:rsidR="00D63497" w:rsidRDefault="00D63497"/>
    <w:sectPr w:rsidR="00D63497" w:rsidSect="00852A14">
      <w:headerReference w:type="default" r:id="rId4"/>
      <w:pgSz w:w="11906" w:h="16838"/>
      <w:pgMar w:top="1135" w:right="1701" w:bottom="709" w:left="1701" w:header="1131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A1" w:rsidRPr="004F0CA1" w:rsidRDefault="00430647" w:rsidP="004F0CA1">
    <w:pPr>
      <w:spacing w:after="0"/>
      <w:ind w:left="1560" w:right="360"/>
      <w:rPr>
        <w:rFonts w:ascii="Times New Roman" w:hAnsi="Times New Roman" w:cs="Times New Roman"/>
        <w:b/>
        <w:sz w:val="24"/>
        <w:szCs w:val="24"/>
      </w:rPr>
    </w:pPr>
    <w:r w:rsidRPr="004F0CA1">
      <w:rPr>
        <w:rFonts w:ascii="Times New Roman" w:hAnsi="Times New Roman" w:cs="Times New Roman"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28BED972" wp14:editId="3CA8C0A8">
          <wp:simplePos x="0" y="0"/>
          <wp:positionH relativeFrom="column">
            <wp:posOffset>-351692</wp:posOffset>
          </wp:positionH>
          <wp:positionV relativeFrom="paragraph">
            <wp:posOffset>-239528</wp:posOffset>
          </wp:positionV>
          <wp:extent cx="1423035" cy="1296670"/>
          <wp:effectExtent l="0" t="0" r="5715" b="17780"/>
          <wp:wrapSquare wrapText="bothSides"/>
          <wp:docPr id="7" name="Imagem 7" descr="Brasao_entre_ri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 descr="Brasao_entre_rio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3035" cy="1296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F0CA1">
      <w:rPr>
        <w:rFonts w:ascii="Times New Roman" w:hAnsi="Times New Roman" w:cs="Times New Roman"/>
        <w:b/>
        <w:sz w:val="24"/>
        <w:szCs w:val="24"/>
      </w:rPr>
      <w:t>ESTADO DE SANTA CATARINA</w:t>
    </w:r>
  </w:p>
  <w:p w:rsidR="004F0CA1" w:rsidRPr="004F0CA1" w:rsidRDefault="00430647" w:rsidP="004F0CA1">
    <w:pPr>
      <w:spacing w:after="0"/>
      <w:ind w:left="1560"/>
      <w:rPr>
        <w:rFonts w:ascii="Times New Roman" w:hAnsi="Times New Roman" w:cs="Times New Roman"/>
        <w:b/>
        <w:sz w:val="24"/>
        <w:szCs w:val="24"/>
      </w:rPr>
    </w:pPr>
    <w:r w:rsidRPr="004F0CA1">
      <w:rPr>
        <w:rFonts w:ascii="Times New Roman" w:hAnsi="Times New Roman" w:cs="Times New Roman"/>
        <w:b/>
        <w:sz w:val="24"/>
        <w:szCs w:val="24"/>
      </w:rPr>
      <w:t>PREFEITURA MUNICIPAL DE ENTRE RIOS</w:t>
    </w:r>
  </w:p>
  <w:p w:rsidR="004F0CA1" w:rsidRDefault="0043064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385"/>
    <w:rsid w:val="00430647"/>
    <w:rsid w:val="00D63497"/>
    <w:rsid w:val="00F3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CF24"/>
  <w15:chartTrackingRefBased/>
  <w15:docId w15:val="{5A311951-14B0-4C7C-A8A3-F577FAA9A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3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qFormat/>
    <w:rsid w:val="00F313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qFormat/>
    <w:rsid w:val="00F3138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31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1385"/>
  </w:style>
  <w:style w:type="paragraph" w:styleId="Textodebalo">
    <w:name w:val="Balloon Text"/>
    <w:basedOn w:val="Normal"/>
    <w:link w:val="TextodebaloChar"/>
    <w:uiPriority w:val="99"/>
    <w:semiHidden/>
    <w:unhideWhenUsed/>
    <w:rsid w:val="004306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06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497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cp:lastPrinted>2026-07-09T19:26:00Z</cp:lastPrinted>
  <dcterms:created xsi:type="dcterms:W3CDTF">2026-07-09T19:15:00Z</dcterms:created>
  <dcterms:modified xsi:type="dcterms:W3CDTF">2026-07-09T19:27:00Z</dcterms:modified>
</cp:coreProperties>
</file>